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Ollastr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Oristan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